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4" w:lineRule="exact"/>
        <w:ind w:left="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 3</w:t>
      </w:r>
    </w:p>
    <w:p>
      <w:pPr>
        <w:spacing w:after="0" w:line="38" w:lineRule="exact"/>
        <w:rPr>
          <w:color w:val="auto"/>
          <w:sz w:val="20"/>
          <w:szCs w:val="20"/>
        </w:r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国家花卉种质资源库评分细则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tbl>
      <w:tblPr>
        <w:tblStyle w:val="2"/>
        <w:tblW w:w="100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5360"/>
        <w:gridCol w:w="1160"/>
        <w:gridCol w:w="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评审项目类型</w:t>
            </w:r>
          </w:p>
        </w:tc>
        <w:tc>
          <w:tcPr>
            <w:tcW w:w="53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评审指标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标准分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评分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（100）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一、综合评审项目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评审指标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1.1 丰富性和代表性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1.保存和利用价值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4"/>
                <w:szCs w:val="24"/>
              </w:rPr>
              <w:t>1.2 特有性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4"/>
                <w:szCs w:val="24"/>
              </w:rPr>
              <w:t>1.3 利用价值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2.土地权属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2.1 土地权属清楚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2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2.2 土地使用权年限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3.1 机构设置与人员配备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3.保存管理基础</w:t>
            </w: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3.2 建设管理条件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4"/>
                <w:szCs w:val="24"/>
              </w:rPr>
              <w:t>3.3 基础工作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4.保存目标花卉群体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4.1 面积适宜性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2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（二选一）</w:t>
            </w: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4"/>
                <w:szCs w:val="24"/>
              </w:rPr>
              <w:t>4.2 占该类花卉全部种、变种或品种百分比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二、不同类型保存库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评审指标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4"/>
                <w:szCs w:val="24"/>
              </w:rPr>
              <w:t>5.1 保存传统名花木本类 100 株以上，草本类 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株以上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4"/>
                <w:szCs w:val="24"/>
              </w:rPr>
              <w:t>5.2 保存珍稀濒危花卉木本类 50 株，草本类 25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株或以上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5.原地保存库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5.3 保存特色花卉及具开发潜力的花卉 100 株或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5.4 核心区木本类面积不小于 3hm</w:t>
            </w: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，草本类面积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不小于 1hm</w:t>
            </w: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4"/>
                <w:szCs w:val="24"/>
              </w:rPr>
              <w:t>5.5 保护区域生态和遗传稳定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6.1 窄域分布种 1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6.2 局域分布种 4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6．异地保存库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6.3 广域分布种 8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6.4 个体保存数量 6 株以上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4"/>
                <w:szCs w:val="24"/>
              </w:rPr>
              <w:t>6.5 备份库 1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7.1 窄域分布种 1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7.2 局域分布种 4 个或以上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7.3 广域分布种 8 个或以上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4"/>
                <w:szCs w:val="24"/>
              </w:rPr>
              <w:t>7.4 个体保存数量 6 株以上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4"/>
                <w:szCs w:val="24"/>
              </w:rPr>
              <w:t>7.5 备份库 1 个或以上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7.设施保存库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7.6 保存目标花卉群体种或变种样本不少于 10 个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7.7 保存种、变种或品种的种子数不少于 100 粒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4"/>
                <w:szCs w:val="24"/>
              </w:rPr>
              <w:t>7.8 保存种、变种或品种的植株、穗条、芽苗等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4"/>
                <w:szCs w:val="24"/>
              </w:rPr>
              <w:t>繁殖材料不少于 30 株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7.9 保存种、变种或品种的试管苗不少于 30 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4"/>
                <w:szCs w:val="24"/>
              </w:rPr>
              <w:t>7.10 保存种、变种或品种的试管苗不少于 50 克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4"/>
                <w:szCs w:val="24"/>
              </w:rPr>
              <w:t>三、总分</w:t>
            </w:r>
          </w:p>
        </w:tc>
        <w:tc>
          <w:tcPr>
            <w:tcW w:w="5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32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 xml:space="preserve">-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-</w:t>
      </w:r>
    </w:p>
    <w:p>
      <w:pPr>
        <w:sectPr>
          <w:pgSz w:w="11900" w:h="16838"/>
          <w:pgMar w:top="1440" w:right="1126" w:bottom="689" w:left="1120" w:header="0" w:footer="0" w:gutter="0"/>
          <w:cols w:equalWidth="0" w:num="1">
            <w:col w:w="966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0" w:name="page18"/>
      <w:bookmarkEnd w:id="0"/>
    </w:p>
    <w:p>
      <w:pPr>
        <w:spacing w:after="0" w:line="36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评审指标及赋分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一、综合评审项目（50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1.保存和利用价值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1.1 丰富性和代表性（10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a、属同类型中的典型代表，组成成分、结构或类型复杂多样。（10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b、属很好代表，组成成分、结构或类型比较丰富。（5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c、属较好代表，组成成分与结构比较简单，类型较少。（3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d、代表性一般，组成成分与结构简单，类型单一。（1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1.2 特有性（5 分）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a、属国内或省内珍稀濒危，或特有类型，具有特殊保护利用价值。（5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b、在省内分布较少，但有特殊保护利用价值。（3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c、在省内分布比较普遍，保护利用价值一般（0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1.3 利用价值（5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a、具有重要生产或科研价值。（5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b、具有较高生产或科研价值。（3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c、具有一般生产或科研价值。（1 分）</w:t>
      </w:r>
    </w:p>
    <w:p>
      <w:pPr>
        <w:spacing w:after="0" w:line="10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2.土地权属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2.1 土地权属（5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32" w:lineRule="exact"/>
        <w:ind w:left="360" w:right="24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a、边界清楚，无土地使用权属纠纷，已获得全部土地的使用权并领取了土地使用证（提供土地红线图或市县有关部门核准且盖印的拟建保护区范围图）。（5 分）</w:t>
      </w:r>
    </w:p>
    <w:p>
      <w:pPr>
        <w:spacing w:after="0" w:line="144" w:lineRule="exact"/>
        <w:rPr>
          <w:color w:val="auto"/>
          <w:sz w:val="20"/>
          <w:szCs w:val="20"/>
        </w:rPr>
      </w:pPr>
    </w:p>
    <w:p>
      <w:pPr>
        <w:spacing w:after="0" w:line="332" w:lineRule="exact"/>
        <w:ind w:left="360" w:right="24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b、边界清楚，无土地使用权属纠纷，已获得核心区土地的使用权并领取了土地使用证（提供土地红线图或市县有关部门核准且盖印的拟建保护区范围图）。（3 分）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c、边界、土地使用权或林权存在争议。（0 分）</w:t>
      </w:r>
    </w:p>
    <w:p>
      <w:pPr>
        <w:spacing w:after="0" w:line="10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2.2 土地使用权年限（8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a、土地使用权年限 30 年及以上。（8）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b、土地使用权年限界于 20-29 年。（5）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c、土地使用权年限界于 10-19 年。（3）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d、土地使用权年限低于 10 年。（1）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3.保存管理基础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3.1 机构设置与人员配备（3 分）</w:t>
      </w:r>
    </w:p>
    <w:p>
      <w:pPr>
        <w:spacing w:after="0" w:line="145" w:lineRule="exact"/>
        <w:rPr>
          <w:color w:val="auto"/>
          <w:sz w:val="20"/>
          <w:szCs w:val="20"/>
        </w:rPr>
      </w:pPr>
    </w:p>
    <w:p>
      <w:pPr>
        <w:spacing w:after="0" w:line="307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a、具有单独管理机构和人员，岗位责任明确，管护经费稳定；有明确依托科研技术单位。（3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b、有管理机构和人员，有一定的管护经费；有明确依托科研技术单位。（2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 xml:space="preserve">-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-</w:t>
      </w:r>
    </w:p>
    <w:p>
      <w:pPr>
        <w:sectPr>
          <w:pgSz w:w="11900" w:h="16838"/>
          <w:pgMar w:top="1440" w:right="1440" w:bottom="689" w:left="1440" w:header="0" w:footer="0" w:gutter="0"/>
          <w:cols w:equalWidth="0" w:num="1">
            <w:col w:w="9026"/>
          </w:cols>
        </w:sectPr>
      </w:pPr>
    </w:p>
    <w:p>
      <w:pPr>
        <w:spacing w:after="0" w:line="63" w:lineRule="exact"/>
        <w:rPr>
          <w:color w:val="auto"/>
          <w:sz w:val="20"/>
          <w:szCs w:val="20"/>
        </w:rPr>
      </w:pPr>
      <w:bookmarkStart w:id="1" w:name="page19"/>
      <w:bookmarkEnd w:id="1"/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c、没有管理机构，配备管理人员由其他人员兼职。（1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3.2 建设管理条件（3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07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a、具有良好的基础设施设备，包括办公、科研、生产及保护设施，档案齐全，设有专人管理。（3 分）</w:t>
      </w:r>
    </w:p>
    <w:p>
      <w:pPr>
        <w:spacing w:after="0" w:line="121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b、具备管理所需的办公、保护等设施，能满足一般管理工作的需求（2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c、初步具有或基本上不具有基础设施，难以开展有效的管理工作（1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3.3 基础工作（3 分）</w:t>
      </w:r>
    </w:p>
    <w:p>
      <w:pPr>
        <w:spacing w:after="0" w:line="145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a、系统全面掌握资源、环境本底情况，具有详细综合考察报告，收集了完整的样本材料，档案齐全。（3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b、基本掌握资源、环境本底情况，具有较详细综合考察报告，收集了大部分样本材料，档案齐全。（2 分）</w:t>
      </w:r>
    </w:p>
    <w:p>
      <w:pPr>
        <w:spacing w:after="0" w:line="145" w:lineRule="exact"/>
        <w:rPr>
          <w:color w:val="auto"/>
          <w:sz w:val="20"/>
          <w:szCs w:val="20"/>
        </w:rPr>
      </w:pPr>
    </w:p>
    <w:p>
      <w:pPr>
        <w:spacing w:after="0" w:line="307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c、初步掌握主要对象资源、环境本底特征，完成了初步的科学考察报告，收集了主要保护对象的样本材料。（1 分）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d、具有考察报告，选择的主要保护对象不明确，资料不深入。（0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07" w:lineRule="exact"/>
        <w:ind w:left="360" w:right="366" w:firstLine="482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4.保存目标花卉群体（原地保存库按照 4.1 评分，异地保存库和设施保存库按照 4.2 评分）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4.1 面积适宜性（8 分）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a、面积足以有效保护全部对象，核心区面积占总面积的 50%及以上。（8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b、面积能够保护全部对象，核心区面积占总面积的 30-49%。（5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c、面积基本能够保护全部对象，核心区面积占总面积的 20-29%，但能有效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保护主要保护对象。（3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d、核心区面积不能达到保护最低需求，无法满足主要保护对象的保护要求。（0 分）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4.2 占该类花卉全部种、变种或品种百分比（8 分）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a、保存目标花卉群体占该类花卉全部种、变种或品种 50%及以上。（8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b、保存目标花卉群体占该类花卉全部种、变种或品种 30%-49%。（5 分）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c、保存目标花卉群体占该类花卉全部种、变种或品种 20-29%以下。（3 分）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d、保存目标花卉群体占该类花卉全部种、变种或品种 19%以下（1 分）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二、不同类型保存库（50 分）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p>
      <w:pPr>
        <w:spacing w:after="0" w:line="307" w:lineRule="exact"/>
        <w:ind w:left="360" w:right="366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根据申请种质资源库申请类别，分为原地保存库、异地保存库和设施保存库 3 种，每种保存库评审分值 50 分。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评审时，对应不同类型保存库的指标评分，符合指标记全分，不符合指标记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540"/>
        </w:tabs>
        <w:spacing w:after="0" w:line="274" w:lineRule="exact"/>
        <w:ind w:left="540" w:hanging="1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分。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三、总分=综合评审项目得分+相对应类型保存库得分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8" w:lineRule="exact"/>
        <w:rPr>
          <w:color w:val="auto"/>
          <w:sz w:val="20"/>
          <w:szCs w:val="20"/>
        </w:rPr>
      </w:pPr>
      <w:bookmarkStart w:id="2" w:name="_GoBack"/>
      <w:bookmarkEnd w:id="2"/>
    </w:p>
    <w:p>
      <w:pPr>
        <w:spacing w:after="0" w:line="320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 xml:space="preserve">-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-</w:t>
      </w:r>
    </w:p>
    <w:p/>
    <w:sectPr>
      <w:pgSz w:w="11900" w:h="16838"/>
      <w:pgMar w:top="1440" w:right="1440" w:bottom="689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singleLevel"/>
    <w:tmpl w:val="000072AE"/>
    <w:lvl w:ilvl="0" w:tentative="0">
      <w:start w:val="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697B"/>
    <w:rsid w:val="2EB3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2019-06-13T03:44:00Z</dcterms:created>
  <dc:creator>陕西省花卉协会编辑</dc:creator>
  <cp:lastModifiedBy>陕西省花卉协会编辑</cp:lastModifiedBy>
  <dcterms:modified xsi:type="dcterms:W3CDTF">2019-06-13T03:45:11Z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